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9" w:rsidRPr="00F016B9" w:rsidRDefault="00F016B9" w:rsidP="00F0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6B9">
        <w:rPr>
          <w:rFonts w:ascii="Arial" w:hAnsi="Arial" w:cs="Arial"/>
          <w:b/>
          <w:sz w:val="32"/>
          <w:szCs w:val="32"/>
        </w:rPr>
        <w:t>Patients Survey Results</w:t>
      </w:r>
    </w:p>
    <w:p w:rsidR="00F016B9" w:rsidRPr="00E14F12" w:rsidRDefault="00F016B9" w:rsidP="00F0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0F36">
        <w:rPr>
          <w:rFonts w:ascii="Arial" w:hAnsi="Arial" w:cs="Arial"/>
        </w:rPr>
        <w:t xml:space="preserve">100 patients completed the </w:t>
      </w:r>
      <w:r>
        <w:rPr>
          <w:rFonts w:ascii="Arial" w:hAnsi="Arial" w:cs="Arial"/>
        </w:rPr>
        <w:t xml:space="preserve">survey </w:t>
      </w:r>
      <w:r w:rsidRPr="00770F36">
        <w:rPr>
          <w:rFonts w:ascii="Arial" w:hAnsi="Arial" w:cs="Arial"/>
        </w:rPr>
        <w:t xml:space="preserve">questionnaire. </w:t>
      </w:r>
      <w:r w:rsidRPr="00027EFD">
        <w:rPr>
          <w:rFonts w:ascii="Arial" w:hAnsi="Arial" w:cs="Arial"/>
          <w:b/>
        </w:rPr>
        <w:t xml:space="preserve">Fig1 </w:t>
      </w:r>
      <w:r>
        <w:rPr>
          <w:rFonts w:ascii="Arial" w:hAnsi="Arial" w:cs="Arial"/>
          <w:b/>
        </w:rPr>
        <w:t>and Fig2</w:t>
      </w:r>
      <w:r w:rsidRPr="00770F36">
        <w:rPr>
          <w:rFonts w:ascii="Arial" w:hAnsi="Arial" w:cs="Arial"/>
        </w:rPr>
        <w:t xml:space="preserve"> </w:t>
      </w:r>
      <w:r w:rsidRPr="00770F36">
        <w:rPr>
          <w:rFonts w:ascii="Arial" w:hAnsi="Arial" w:cs="Arial"/>
        </w:rPr>
        <w:t>show</w:t>
      </w:r>
      <w:r w:rsidRPr="00770F36">
        <w:rPr>
          <w:rFonts w:ascii="Arial" w:hAnsi="Arial" w:cs="Arial"/>
        </w:rPr>
        <w:t xml:space="preserve"> the breakdown of respondents by </w:t>
      </w:r>
      <w:r w:rsidRPr="007459A9">
        <w:rPr>
          <w:rFonts w:ascii="Arial" w:hAnsi="Arial" w:cs="Arial"/>
          <w:b/>
        </w:rPr>
        <w:t>Age, Gender</w:t>
      </w:r>
      <w:r w:rsidRPr="00770F36">
        <w:rPr>
          <w:rFonts w:ascii="Arial" w:hAnsi="Arial" w:cs="Arial"/>
        </w:rPr>
        <w:t xml:space="preserve"> and Ethnicity</w:t>
      </w:r>
      <w:r>
        <w:rPr>
          <w:rFonts w:ascii="Arial" w:hAnsi="Arial" w:cs="Arial"/>
        </w:rPr>
        <w:t>.</w:t>
      </w: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Pr="00770F36" w:rsidRDefault="00F016B9" w:rsidP="00F016B9">
      <w:r>
        <w:rPr>
          <w:noProof/>
        </w:rPr>
        <w:drawing>
          <wp:inline distT="0" distB="0" distL="0" distR="0" wp14:anchorId="41F8891F" wp14:editId="76B1399C">
            <wp:extent cx="5486400" cy="29432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016B9" w:rsidRPr="00D453C3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0F36">
        <w:rPr>
          <w:rFonts w:ascii="Arial" w:hAnsi="Arial" w:cs="Arial"/>
          <w:b/>
        </w:rPr>
        <w:t>Fig1.</w:t>
      </w:r>
      <w:r>
        <w:rPr>
          <w:rFonts w:ascii="Arial" w:hAnsi="Arial" w:cs="Arial"/>
        </w:rPr>
        <w:t xml:space="preserve"> </w:t>
      </w:r>
      <w:r w:rsidRPr="00770F36">
        <w:rPr>
          <w:rFonts w:ascii="Arial" w:hAnsi="Arial" w:cs="Arial"/>
        </w:rPr>
        <w:t>Chara</w:t>
      </w:r>
      <w:r>
        <w:rPr>
          <w:rFonts w:ascii="Arial" w:hAnsi="Arial" w:cs="Arial"/>
        </w:rPr>
        <w:t>cteristics of the survey sample on</w:t>
      </w:r>
      <w:r w:rsidRPr="00770F36">
        <w:rPr>
          <w:rFonts w:ascii="Arial" w:hAnsi="Arial" w:cs="Arial"/>
        </w:rPr>
        <w:t xml:space="preserve"> </w:t>
      </w:r>
      <w:r w:rsidRPr="00354FAD">
        <w:rPr>
          <w:rFonts w:ascii="Arial" w:hAnsi="Arial" w:cs="Arial"/>
          <w:b/>
        </w:rPr>
        <w:t>Age and Gender</w:t>
      </w:r>
      <w:r w:rsidRPr="00770F36">
        <w:rPr>
          <w:rFonts w:ascii="Arial" w:hAnsi="Arial" w:cs="Arial"/>
        </w:rPr>
        <w:t xml:space="preserve"> range</w:t>
      </w:r>
      <w:r>
        <w:rPr>
          <w:rFonts w:ascii="Arial" w:hAnsi="Arial" w:cs="Arial"/>
        </w:rPr>
        <w:t xml:space="preserve">. </w:t>
      </w:r>
      <w:r w:rsidRPr="00354FAD">
        <w:rPr>
          <w:rFonts w:ascii="Arial" w:hAnsi="Arial" w:cs="Arial"/>
          <w:b/>
        </w:rPr>
        <w:t>43%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Male</w:t>
      </w:r>
      <w:r>
        <w:rPr>
          <w:rFonts w:ascii="Arial" w:hAnsi="Arial" w:cs="Arial"/>
        </w:rPr>
        <w:t xml:space="preserve"> and </w:t>
      </w:r>
      <w:r w:rsidRPr="00354FAD">
        <w:rPr>
          <w:rFonts w:ascii="Arial" w:hAnsi="Arial" w:cs="Arial"/>
          <w:b/>
        </w:rPr>
        <w:t>57%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Female</w:t>
      </w:r>
      <w:r>
        <w:rPr>
          <w:rFonts w:ascii="Arial" w:hAnsi="Arial" w:cs="Arial"/>
        </w:rPr>
        <w:t xml:space="preserve">. The ages were </w:t>
      </w:r>
      <w:r w:rsidRPr="00354FAD">
        <w:rPr>
          <w:rFonts w:ascii="Arial" w:hAnsi="Arial" w:cs="Arial"/>
          <w:b/>
        </w:rPr>
        <w:t>7%</w:t>
      </w:r>
      <w:r>
        <w:rPr>
          <w:rFonts w:ascii="Arial" w:hAnsi="Arial" w:cs="Arial"/>
        </w:rPr>
        <w:t xml:space="preserve"> </w:t>
      </w:r>
      <w:r w:rsidRPr="00354FAD">
        <w:rPr>
          <w:rFonts w:ascii="Arial" w:hAnsi="Arial" w:cs="Arial"/>
          <w:b/>
        </w:rPr>
        <w:t>under 16</w:t>
      </w:r>
      <w:r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34%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16 – 44</w:t>
      </w:r>
      <w:r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27%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45 – 64</w:t>
      </w:r>
      <w:r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23%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65 – 74</w:t>
      </w:r>
      <w:r>
        <w:rPr>
          <w:rFonts w:ascii="Arial" w:hAnsi="Arial" w:cs="Arial"/>
        </w:rPr>
        <w:t xml:space="preserve"> and </w:t>
      </w:r>
      <w:r w:rsidRPr="00354FAD">
        <w:rPr>
          <w:rFonts w:ascii="Arial" w:hAnsi="Arial" w:cs="Arial"/>
          <w:b/>
        </w:rPr>
        <w:t>9%</w:t>
      </w:r>
      <w:r>
        <w:rPr>
          <w:rFonts w:ascii="Arial" w:hAnsi="Arial" w:cs="Arial"/>
        </w:rPr>
        <w:t xml:space="preserve"> were </w:t>
      </w:r>
      <w:r w:rsidRPr="00354FAD">
        <w:rPr>
          <w:rFonts w:ascii="Arial" w:hAnsi="Arial" w:cs="Arial"/>
          <w:b/>
        </w:rPr>
        <w:t>75 and over</w:t>
      </w:r>
      <w:r>
        <w:rPr>
          <w:rFonts w:ascii="Arial" w:hAnsi="Arial" w:cs="Arial"/>
        </w:rPr>
        <w:t xml:space="preserve">.   </w:t>
      </w:r>
    </w:p>
    <w:p w:rsidR="00F016B9" w:rsidRPr="00D453C3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6B9" w:rsidRDefault="00F016B9" w:rsidP="00F016B9">
      <w:r>
        <w:rPr>
          <w:noProof/>
        </w:rPr>
        <w:drawing>
          <wp:inline distT="0" distB="0" distL="0" distR="0" wp14:anchorId="07FBFD3A" wp14:editId="692E4E98">
            <wp:extent cx="5486400" cy="28003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2B31" w:rsidRPr="00F016B9" w:rsidRDefault="00F016B9" w:rsidP="00F016B9">
      <w:pPr>
        <w:tabs>
          <w:tab w:val="left" w:pos="3795"/>
        </w:tabs>
        <w:rPr>
          <w:rFonts w:ascii="Arial" w:hAnsi="Arial" w:cs="Arial"/>
        </w:rPr>
      </w:pPr>
      <w:r w:rsidRPr="00354FAD">
        <w:rPr>
          <w:rFonts w:ascii="Arial" w:hAnsi="Arial" w:cs="Arial"/>
          <w:b/>
        </w:rPr>
        <w:t>Fig2.</w:t>
      </w:r>
      <w:r w:rsidRPr="00354FAD">
        <w:rPr>
          <w:rFonts w:ascii="Arial" w:hAnsi="Arial" w:cs="Arial"/>
        </w:rPr>
        <w:t xml:space="preserve"> Ethnic Number of response, </w:t>
      </w:r>
      <w:r w:rsidRPr="00354FAD">
        <w:rPr>
          <w:rFonts w:ascii="Arial" w:hAnsi="Arial" w:cs="Arial"/>
          <w:b/>
        </w:rPr>
        <w:t>37%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White British</w:t>
      </w:r>
      <w:r w:rsidRPr="00354FAD"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12%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Black or Black British</w:t>
      </w:r>
      <w:r w:rsidRPr="00354FAD"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7%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Asian or Asian British</w:t>
      </w:r>
      <w:r w:rsidRPr="00354FAD"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21%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Mixed</w:t>
      </w:r>
      <w:r w:rsidRPr="00354FAD">
        <w:rPr>
          <w:rFonts w:ascii="Arial" w:hAnsi="Arial" w:cs="Arial"/>
        </w:rPr>
        <w:t xml:space="preserve">, </w:t>
      </w:r>
      <w:r w:rsidRPr="00354FAD">
        <w:rPr>
          <w:rFonts w:ascii="Arial" w:hAnsi="Arial" w:cs="Arial"/>
          <w:b/>
        </w:rPr>
        <w:t>4%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Chinese</w:t>
      </w:r>
      <w:r w:rsidRPr="00354FAD">
        <w:rPr>
          <w:rFonts w:ascii="Arial" w:hAnsi="Arial" w:cs="Arial"/>
        </w:rPr>
        <w:t xml:space="preserve"> and </w:t>
      </w:r>
      <w:r w:rsidRPr="00354FAD">
        <w:rPr>
          <w:rFonts w:ascii="Arial" w:hAnsi="Arial" w:cs="Arial"/>
          <w:b/>
        </w:rPr>
        <w:t>19%</w:t>
      </w:r>
      <w:r w:rsidRPr="00354FAD">
        <w:rPr>
          <w:rFonts w:ascii="Arial" w:hAnsi="Arial" w:cs="Arial"/>
        </w:rPr>
        <w:t xml:space="preserve"> </w:t>
      </w:r>
      <w:r w:rsidRPr="007459A9">
        <w:rPr>
          <w:rFonts w:ascii="Arial" w:hAnsi="Arial" w:cs="Arial"/>
          <w:b/>
        </w:rPr>
        <w:t>Other Ethic Group</w:t>
      </w:r>
      <w:r w:rsidRPr="00354FAD">
        <w:rPr>
          <w:rFonts w:ascii="Arial" w:hAnsi="Arial" w:cs="Arial"/>
        </w:rPr>
        <w:t xml:space="preserve">.  </w:t>
      </w:r>
      <w:r w:rsidRPr="00354FAD">
        <w:rPr>
          <w:rFonts w:ascii="Arial" w:hAnsi="Arial" w:cs="Arial"/>
        </w:rPr>
        <w:tab/>
      </w:r>
    </w:p>
    <w:sectPr w:rsidR="00EB2B31" w:rsidRPr="00F016B9" w:rsidSect="00F016B9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9"/>
    <w:rsid w:val="002E2249"/>
    <w:rsid w:val="00EB2B31"/>
    <w:rsid w:val="00F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B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B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B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B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400" b="1"/>
              <a:t>Age</a:t>
            </a:r>
            <a:r>
              <a:rPr lang="en-GB" sz="1400" b="1" baseline="0"/>
              <a:t> and </a:t>
            </a:r>
            <a:r>
              <a:rPr lang="en-GB" sz="1400" b="1"/>
              <a:t>Gender</a:t>
            </a:r>
            <a:endParaRPr lang="en-GB" sz="1400" b="1" baseline="0"/>
          </a:p>
        </c:rich>
      </c:tx>
      <c:layout>
        <c:manualLayout>
          <c:xMode val="edge"/>
          <c:yMode val="edge"/>
          <c:x val="0.28528926071741051"/>
          <c:y val="4.36507936507936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1. Age Under 16 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2. Age     16 - 44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3. Age     45 - 64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2">
                  <c:v>27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4. Age     65 - 74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3">
                  <c:v>23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5. Age 75 and over 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Sheet1!$F$2:$F$8</c:f>
              <c:numCache>
                <c:formatCode>General</c:formatCode>
                <c:ptCount val="7"/>
                <c:pt idx="4">
                  <c:v>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6. Male 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Sheet1!$G$2:$G$8</c:f>
              <c:numCache>
                <c:formatCode>General</c:formatCode>
                <c:ptCount val="7"/>
                <c:pt idx="5">
                  <c:v>43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7. Female</c:v>
                </c:pt>
              </c:strCache>
            </c:strRef>
          </c:tx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Sheet1!$H$2:$H$8</c:f>
              <c:numCache>
                <c:formatCode>General</c:formatCode>
                <c:ptCount val="7"/>
                <c:pt idx="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0782848"/>
        <c:axId val="100784384"/>
        <c:axId val="0"/>
      </c:bar3DChart>
      <c:catAx>
        <c:axId val="10078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784384"/>
        <c:crosses val="autoZero"/>
        <c:auto val="1"/>
        <c:lblAlgn val="ctr"/>
        <c:lblOffset val="100"/>
        <c:noMultiLvlLbl val="0"/>
      </c:catAx>
      <c:valAx>
        <c:axId val="10078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82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400" b="1"/>
              <a:t>Ethnicity</a:t>
            </a:r>
            <a:endParaRPr lang="en-GB" sz="1400" b="1" baseline="0"/>
          </a:p>
        </c:rich>
      </c:tx>
      <c:layout>
        <c:manualLayout>
          <c:xMode val="edge"/>
          <c:yMode val="edge"/>
          <c:x val="0.32695592738407736"/>
          <c:y val="4.36507936507936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1.White British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2.Black or Black British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3.Asian or Asian British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4.Mixed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Sheet1!$E$2:$E$7</c:f>
              <c:numCache>
                <c:formatCode>General</c:formatCode>
                <c:ptCount val="6"/>
                <c:pt idx="3">
                  <c:v>21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5.Chinese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Sheet1!$F$2:$F$7</c:f>
              <c:numCache>
                <c:formatCode>General</c:formatCode>
                <c:ptCount val="6"/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6.Other Ethic Gorup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Sheet1!$G$2:$G$7</c:f>
              <c:numCache>
                <c:formatCode>General</c:formatCode>
                <c:ptCount val="6"/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0924032"/>
        <c:axId val="100962688"/>
        <c:axId val="0"/>
      </c:bar3DChart>
      <c:catAx>
        <c:axId val="1009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962688"/>
        <c:crosses val="autoZero"/>
        <c:auto val="1"/>
        <c:lblAlgn val="ctr"/>
        <c:lblOffset val="100"/>
        <c:noMultiLvlLbl val="0"/>
      </c:catAx>
      <c:valAx>
        <c:axId val="10096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24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F81006 - Clayhill Medical Practice</dc:creator>
  <cp:lastModifiedBy>GP F81006 - Clayhill Medical Practice</cp:lastModifiedBy>
  <cp:revision>1</cp:revision>
  <dcterms:created xsi:type="dcterms:W3CDTF">2013-03-01T15:35:00Z</dcterms:created>
  <dcterms:modified xsi:type="dcterms:W3CDTF">2013-03-01T15:40:00Z</dcterms:modified>
</cp:coreProperties>
</file>